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D13CE9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19" w:lineRule="atLeast"/>
        <w:ind w:left="0" w:right="0"/>
        <w:jc w:val="left"/>
        <w:rPr>
          <w:rFonts w:hint="default" w:ascii="Times New Roman" w:hAnsi="Times New Roman" w:cs="Times New Roman"/>
          <w:b/>
          <w:bCs/>
          <w:color w:val="1565C0"/>
          <w:spacing w:val="24"/>
          <w:sz w:val="18"/>
          <w:szCs w:val="18"/>
        </w:rPr>
      </w:pPr>
      <w:r>
        <w:rPr>
          <w:rFonts w:hint="default" w:ascii="Times New Roman" w:hAnsi="Times New Roman" w:eastAsia="宋体" w:cs="Times New Roman"/>
          <w:b/>
          <w:bCs/>
          <w:color w:val="1565C0"/>
          <w:spacing w:val="24"/>
          <w:sz w:val="18"/>
          <w:szCs w:val="18"/>
        </w:rPr>
        <w:t>NEXPRO</w:t>
      </w:r>
    </w:p>
    <w:p w14:paraId="1E055B8C">
      <w:pPr>
        <w:pStyle w:val="2"/>
        <w:keepNext w:val="0"/>
        <w:keepLines w:val="0"/>
        <w:widowControl/>
        <w:suppressLineNumbers w:val="0"/>
        <w:spacing w:line="19" w:lineRule="atLeast"/>
      </w:pPr>
      <w:r>
        <w:t>NexPro SW-POE2426G</w:t>
      </w:r>
      <w:r>
        <w:br w:type="textWrapping"/>
      </w:r>
      <w:r>
        <w:t>26-Port Gigabit PoE Switch (24-Port PoE + 2 Gigabit Uplink)</w:t>
      </w:r>
    </w:p>
    <w:p w14:paraId="1EFCE6D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6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666666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666666"/>
          <w:sz w:val="18"/>
          <w:szCs w:val="18"/>
        </w:rPr>
        <w:t>Technical Specification Sheet | Document Version 1.0 | May 2026</w:t>
      </w:r>
    </w:p>
    <w:p w14:paraId="3ED95958">
      <w:pPr>
        <w:pStyle w:val="3"/>
        <w:keepNext w:val="0"/>
        <w:keepLines w:val="0"/>
        <w:widowControl/>
        <w:suppressLineNumbers w:val="0"/>
        <w:spacing w:line="19" w:lineRule="atLeast"/>
      </w:pPr>
      <w:r>
        <w:t>Product Overview</w:t>
      </w:r>
    </w:p>
    <w:p w14:paraId="2E45E593">
      <w:pPr>
        <w:pStyle w:val="10"/>
        <w:keepNext w:val="0"/>
        <w:keepLines w:val="0"/>
        <w:widowControl/>
        <w:suppressLineNumbers w:val="0"/>
        <w:spacing w:line="19" w:lineRule="atLeast"/>
      </w:pPr>
      <w:r>
        <w:rPr>
          <w:color w:val="1A1A2E"/>
        </w:rPr>
        <w:t xml:space="preserve">The NexPro SW-POE2426G is a 26-port Gigabit PoE switch purpose-built for large-scale IP surveillance and wireless access point deployments. With </w:t>
      </w:r>
      <w:r>
        <w:rPr>
          <w:rStyle w:val="13"/>
          <w:color w:val="1A1A2E"/>
        </w:rPr>
        <w:t>24 PoE-enabled ports</w:t>
      </w:r>
      <w:r>
        <w:rPr>
          <w:color w:val="1A1A2E"/>
        </w:rPr>
        <w:t xml:space="preserve"> delivering both data and DC power over a single Cat5e/Cat6 cable, and </w:t>
      </w:r>
      <w:r>
        <w:rPr>
          <w:rStyle w:val="13"/>
          <w:color w:val="1A1A2E"/>
        </w:rPr>
        <w:t>2 Gigabit uplink ports</w:t>
      </w:r>
      <w:r>
        <w:rPr>
          <w:color w:val="1A1A2E"/>
        </w:rPr>
        <w:t xml:space="preserve"> for high-speed NVR or core switch connectivity, it serves as the backbone aggregation switch for entire building floors, parking structures, or campus zones. A robust </w:t>
      </w:r>
      <w:r>
        <w:rPr>
          <w:rStyle w:val="13"/>
          <w:color w:val="1A1A2E"/>
        </w:rPr>
        <w:t>320W total power budget</w:t>
      </w:r>
      <w:r>
        <w:rPr>
          <w:color w:val="1A1A2E"/>
        </w:rPr>
        <w:t xml:space="preserve"> and </w:t>
      </w:r>
      <w:r>
        <w:rPr>
          <w:rStyle w:val="13"/>
          <w:color w:val="1A1A2E"/>
        </w:rPr>
        <w:t>8.8 Gbps backplane bandwidth</w:t>
      </w:r>
      <w:r>
        <w:rPr>
          <w:color w:val="1A1A2E"/>
        </w:rPr>
        <w:t xml:space="preserve"> ensure every connected camera records without interruption.</w:t>
      </w:r>
    </w:p>
    <w:p w14:paraId="086EE9E5">
      <w:pPr>
        <w:keepNext w:val="0"/>
        <w:keepLines w:val="0"/>
        <w:widowControl/>
        <w:suppressLineNumbers w:val="0"/>
        <w:pBdr>
          <w:top w:val="none" w:color="auto" w:sz="0" w:space="0"/>
          <w:left w:val="single" w:color="1565C0" w:sz="18" w:space="10"/>
          <w:bottom w:val="none" w:color="auto" w:sz="0" w:space="0"/>
          <w:right w:val="none" w:color="auto" w:sz="0" w:space="0"/>
        </w:pBdr>
        <w:shd w:val="clear" w:fill="E3F2FD"/>
        <w:spacing w:before="192" w:beforeAutospacing="0" w:after="192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1A1A2E"/>
          <w:sz w:val="20"/>
          <w:szCs w:val="20"/>
        </w:rPr>
      </w:pP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Core Value Proposition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Maximum Density: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24 PoE ports in a compact 312mm chassis — cover an entire floor or zone with a single switch.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Gigabit Uplink: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Two 1000Mbps uplink ports ensure zero bottleneck when aggregating 24 camera streams.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Extended Reach: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Extend mode delivers power + data up to 250m at 10Mbps.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True Plug-and-Play: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Zero configuration — auto-sensing PoE, instant device recognition.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Intelligent Management: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VLAN isolation and per-port speed control via a single physical switch.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bdr w:val="single" w:color="1565C0" w:sz="18" w:space="0"/>
          <w:shd w:val="clear" w:fill="E3F2FD"/>
        </w:rPr>
        <w:br w:type="textWrapping"/>
      </w:r>
      <w:r>
        <w:rPr>
          <w:rStyle w:val="13"/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>Surge-Protected:</w:t>
      </w:r>
      <w:r>
        <w:rPr>
          <w:rFonts w:hint="default" w:ascii="Times New Roman" w:hAnsi="Times New Roman" w:eastAsia="宋体" w:cs="Times New Roman"/>
          <w:color w:val="1A1A2E"/>
          <w:sz w:val="20"/>
          <w:szCs w:val="20"/>
          <w:shd w:val="clear" w:fill="E3F2FD"/>
        </w:rPr>
        <w:t xml:space="preserve"> Built-in lightning protection, engineered for surveillance-grade 24/7 operation. </w:t>
      </w:r>
    </w:p>
    <w:p w14:paraId="5D359A39">
      <w:pPr>
        <w:pStyle w:val="3"/>
        <w:keepNext w:val="0"/>
        <w:keepLines w:val="0"/>
        <w:widowControl/>
        <w:suppressLineNumbers w:val="0"/>
        <w:spacing w:line="19" w:lineRule="atLeast"/>
        <w:jc w:val="center"/>
      </w:pPr>
      <w:bookmarkStart w:id="0" w:name="_GoBack"/>
      <w:r>
        <w:rPr>
          <w:rFonts w:hint="eastAsia" w:asciiTheme="majorEastAsia" w:hAnsiTheme="majorEastAsia" w:eastAsiaTheme="majorEastAsia" w:cstheme="majorEastAsia"/>
          <w:sz w:val="44"/>
          <w:szCs w:val="44"/>
        </w:rPr>
        <w:pict>
          <v:shape id="_x0000_i1025" o:spt="75" type="#_x0000_t75" style="height:144pt;width:657.25pt;" filled="f" o:preferrelative="t" stroked="f" coordsize="21600,21600">
            <v:path/>
            <v:fill on="f" focussize="0,0"/>
            <v:stroke on="f" miterlimit="8" joinstyle="miter"/>
            <v:imagedata r:id="rId4" o:title=""/>
            <o:lock v:ext="edit" aspectratio="t"/>
            <w10:wrap type="none"/>
            <w10:anchorlock/>
          </v:shape>
        </w:pict>
      </w:r>
      <w:bookmarkEnd w:id="0"/>
    </w:p>
    <w:p w14:paraId="47668B2E">
      <w:pPr>
        <w:pStyle w:val="3"/>
        <w:keepNext w:val="0"/>
        <w:keepLines w:val="0"/>
        <w:widowControl/>
        <w:suppressLineNumbers w:val="0"/>
        <w:spacing w:line="19" w:lineRule="atLeast"/>
      </w:pPr>
      <w:r>
        <w:t>Key Features</w:t>
      </w:r>
    </w:p>
    <w:p w14:paraId="701CCB3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24× 100Mbps PoE Ports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Simultaneous data and DC power delivery via standard Cat5e/Cat6 cable; auto-sensing IEEE 802.3af/at compliant powered devices. 320W total power budget supports fully loaded 24-channel camera deployments including IR-illuminated models.</w:t>
      </w:r>
    </w:p>
    <w:p w14:paraId="64D4544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2× Gigabit Uplink Ports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Dedicated 1000Mbps uplink for NVR connection or cascading to core switch; no data bottleneck when aggregating all 24 camera streams simultaneously at maximum resolution.</w:t>
      </w:r>
    </w:p>
    <w:p w14:paraId="476F9DF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Extend Mode (250m)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When enabled, ports 1–24 operate at forced 10Mbps with VLAN isolation, extending transmission distance to 250 metres — ideal for perimeter cameras, remote gates, and parking lot coverage without fibre converters.</w:t>
      </w:r>
    </w:p>
    <w:p w14:paraId="7A8F4B39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VLAN Isolation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Paired with Extend mode, isolates each PoE port to prevent broadcast storms and enhance network security for dedicated surveillance traffic across large port counts.</w:t>
      </w:r>
    </w:p>
    <w:p w14:paraId="56F2865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Wide Voltage PoE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DC 48–55V power supply, 320W total budget; supports both IEEE 802.3af (15.4W) and IEEE 802.3at (30W) powered devices simultaneously across all 24 ports.</w:t>
      </w:r>
    </w:p>
    <w:p w14:paraId="66AD422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Plug-and-Play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No software configuration required; connect cameras and NVR, power on, all 24 channels operational within seconds.</w:t>
      </w:r>
    </w:p>
    <w:p w14:paraId="10B6590E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Compact Steel Housing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312×185×46mm form factor fits standard 19-inch rack shelves and wall-mount enclosures.</w:t>
      </w:r>
    </w:p>
    <w:p w14:paraId="4D13538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Surge Protection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Built-in lightning and surge protection for stable operation in outdoor cabinet and plant-floor installations.</w:t>
      </w:r>
    </w:p>
    <w:p w14:paraId="57C25AB6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Style w:val="13"/>
          <w:rFonts w:hint="default" w:ascii="Times New Roman" w:hAnsi="Times New Roman" w:cs="Times New Roman"/>
          <w:color w:val="1A1A2E"/>
          <w:sz w:val="21"/>
          <w:szCs w:val="21"/>
        </w:rPr>
        <w:t>Broad Compatibility</w:t>
      </w:r>
      <w:r>
        <w:rPr>
          <w:rFonts w:hint="default" w:ascii="Times New Roman" w:hAnsi="Times New Roman" w:cs="Times New Roman"/>
          <w:color w:val="1A1A2E"/>
          <w:sz w:val="21"/>
          <w:szCs w:val="21"/>
        </w:rPr>
        <w:t xml:space="preserve"> — Suitable for IP cameras, wireless APs, and other PoE-powered devices in retail, residential, school, hospital, campus, hotel, and SME environments.</w:t>
      </w:r>
    </w:p>
    <w:p w14:paraId="2E36C959">
      <w:pPr>
        <w:pStyle w:val="3"/>
        <w:keepNext w:val="0"/>
        <w:keepLines w:val="0"/>
        <w:widowControl/>
        <w:suppressLineNumbers w:val="0"/>
        <w:spacing w:line="19" w:lineRule="atLeast"/>
      </w:pPr>
      <w:r>
        <w:t>Technical Specifications</w:t>
      </w:r>
    </w:p>
    <w:tbl>
      <w:tblPr>
        <w:tblStyle w:val="11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47"/>
        <w:gridCol w:w="6095"/>
      </w:tblGrid>
      <w:tr w14:paraId="78B0A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E68A7E2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Product Name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F750CE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26-Port Gigabit Standard PoE Switch</w:t>
            </w:r>
          </w:p>
        </w:tc>
      </w:tr>
      <w:tr w14:paraId="3A2FC5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323CB9F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Model Number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F53187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NexPro SW-POE2426G / 2420GB</w:t>
            </w:r>
          </w:p>
        </w:tc>
      </w:tr>
      <w:tr w14:paraId="1ED74E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E645BF5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Forwarding Mode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2B9068A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Store-and-Forward</w:t>
            </w:r>
          </w:p>
        </w:tc>
      </w:tr>
      <w:tr w14:paraId="2A4BD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0F3E16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Transmission Distance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81A21FA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Standard 100m / Extend mode up to 250m</w:t>
            </w:r>
          </w:p>
        </w:tc>
      </w:tr>
      <w:tr w14:paraId="1E8E18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9A484EC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Backplane Bandwidth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EEFBED0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8.8 Gbps full-duplex</w:t>
            </w:r>
          </w:p>
        </w:tc>
      </w:tr>
      <w:tr w14:paraId="00652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C6F9155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PoE Ports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A3B8B0D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Ports 1–24 (Power + Data, Extend mode supported)</w:t>
            </w:r>
          </w:p>
        </w:tc>
      </w:tr>
      <w:tr w14:paraId="17320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236D30D0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Uplink Ports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21DB107A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2× 1000Mbps RJ45 Gigabit (non-PoE)</w:t>
            </w:r>
          </w:p>
        </w:tc>
      </w:tr>
      <w:tr w14:paraId="54954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951746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Data Pin Assignment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6EF696F9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1, 2, 3, 6</w:t>
            </w:r>
          </w:p>
        </w:tc>
      </w:tr>
      <w:tr w14:paraId="644C3E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67CE8F07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Power Pin Assignment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2418116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Pins 1-2 positive (+) / Pins 3-6 negative (-)</w:t>
            </w:r>
          </w:p>
        </w:tc>
      </w:tr>
      <w:tr w14:paraId="712077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0ECDC7F3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Voltage Specification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FBD181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DC 48–55V</w:t>
            </w:r>
          </w:p>
        </w:tc>
      </w:tr>
      <w:tr w14:paraId="3B0A1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692054A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Standard Power Supply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53DF4328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DC 52V / 320W</w:t>
            </w:r>
          </w:p>
        </w:tc>
      </w:tr>
      <w:tr w14:paraId="6A7BF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532AE77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PoE Protocols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1CE3E7BA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IEEE 802.3at (PoE+), IEEE 802.3af (PoE)</w:t>
            </w:r>
          </w:p>
        </w:tc>
      </w:tr>
      <w:tr w14:paraId="059D2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4721A12F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Network Medium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9A75373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Cat5 / Cat5e UTP (unshielded twisted pair)</w:t>
            </w:r>
          </w:p>
        </w:tc>
      </w:tr>
      <w:tr w14:paraId="7A0326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EBEC22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Dimensions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A418F30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312 × 185 × 46 mm (L×W×H)</w:t>
            </w:r>
          </w:p>
        </w:tc>
      </w:tr>
      <w:tr w14:paraId="49B5B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3CDBFD6E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Extend/VLAN Switch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96" w:type="dxa"/>
              <w:left w:w="168" w:type="dxa"/>
              <w:bottom w:w="96" w:type="dxa"/>
              <w:right w:w="168" w:type="dxa"/>
            </w:tcMar>
            <w:vAlign w:val="center"/>
          </w:tcPr>
          <w:p w14:paraId="7504E914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ON: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 xml:space="preserve"> Ports 1-24 forced 10Mbps / 250m reach / VLAN enabled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br w:type="textWrapping"/>
            </w: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OFF: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 xml:space="preserve"> Ports 1-24 at 100Mbps / 100m reach / VLAN disabled</w:t>
            </w:r>
          </w:p>
        </w:tc>
      </w:tr>
    </w:tbl>
    <w:p w14:paraId="01FE9629">
      <w:pPr>
        <w:pStyle w:val="3"/>
        <w:keepNext w:val="0"/>
        <w:keepLines w:val="0"/>
        <w:widowControl/>
        <w:suppressLineNumbers w:val="0"/>
        <w:spacing w:line="19" w:lineRule="atLeast"/>
      </w:pPr>
      <w:r>
        <w:t>Extend &amp; VLAN Mode Configuration</w:t>
      </w:r>
    </w:p>
    <w:p w14:paraId="1AE0111C">
      <w:pPr>
        <w:pStyle w:val="10"/>
        <w:keepNext w:val="0"/>
        <w:keepLines w:val="0"/>
        <w:widowControl/>
        <w:suppressLineNumbers w:val="0"/>
        <w:spacing w:line="19" w:lineRule="atLeast"/>
      </w:pPr>
      <w:r>
        <w:rPr>
          <w:color w:val="1A1A2E"/>
        </w:rPr>
        <w:t>The physical slide switch on the unit provides instant operational mode switching — no software, no reboot loops, no complexity.</w:t>
      </w:r>
    </w:p>
    <w:tbl>
      <w:tblPr>
        <w:tblStyle w:val="11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8"/>
        <w:gridCol w:w="1102"/>
        <w:gridCol w:w="1121"/>
        <w:gridCol w:w="1172"/>
        <w:gridCol w:w="4081"/>
      </w:tblGrid>
      <w:tr w14:paraId="38E657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49BE4E3F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Switch Position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7DACDBFF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Port Speed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14C214BA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Max Distance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16F4BF87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VLAN Isolation</w:t>
            </w:r>
          </w:p>
        </w:tc>
        <w:tc>
          <w:tcPr>
            <w:tcW w:w="0" w:type="auto"/>
            <w:shd w:val="clear" w:color="auto" w:fill="1565C0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09419815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FFFFFF"/>
                <w:sz w:val="20"/>
                <w:szCs w:val="20"/>
              </w:rPr>
              <w:t>Recommended Use Case</w:t>
            </w:r>
          </w:p>
        </w:tc>
      </w:tr>
      <w:tr w14:paraId="154489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22FF257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ON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041F237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10 Mbps (forced)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6C03E32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250 metres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57705CDB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Enabled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75849FA6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Long-distance perimeter cameras, remote gate installations, standalone far-end deployments where high frame rate is not critical but distance exceeds 100m</w:t>
            </w:r>
          </w:p>
        </w:tc>
      </w:tr>
      <w:tr w14:paraId="7C496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65E8BB19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Style w:val="13"/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OFF</w:t>
            </w: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 xml:space="preserve"> (default)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3855E2A2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100 Mbps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6A671A6D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100 metres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430322E5">
            <w:pPr>
              <w:keepNext w:val="0"/>
              <w:keepLines w:val="0"/>
              <w:widowControl/>
              <w:suppressLineNumbers w:val="0"/>
              <w:spacing w:line="19" w:lineRule="atLeast"/>
              <w:jc w:val="center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Disabled</w:t>
            </w:r>
          </w:p>
        </w:tc>
        <w:tc>
          <w:tcPr>
            <w:tcW w:w="0" w:type="auto"/>
            <w:tcBorders>
              <w:bottom w:val="single" w:color="E0E0E0" w:sz="4" w:space="0"/>
            </w:tcBorders>
            <w:shd w:val="clear" w:color="auto" w:fill="auto"/>
            <w:tcMar>
              <w:top w:w="120" w:type="dxa"/>
              <w:left w:w="144" w:type="dxa"/>
              <w:bottom w:w="120" w:type="dxa"/>
              <w:right w:w="144" w:type="dxa"/>
            </w:tcMar>
            <w:vAlign w:val="center"/>
          </w:tcPr>
          <w:p w14:paraId="054CCFFB">
            <w:pPr>
              <w:keepNext w:val="0"/>
              <w:keepLines w:val="0"/>
              <w:widowControl/>
              <w:suppressLineNumbers w:val="0"/>
              <w:spacing w:line="19" w:lineRule="atLeast"/>
              <w:jc w:val="left"/>
              <w:rPr>
                <w:rFonts w:hint="default" w:ascii="Times New Roman" w:hAnsi="Times New Roman" w:cs="Times New Roman"/>
                <w:color w:val="1A1A2E"/>
                <w:sz w:val="20"/>
                <w:szCs w:val="20"/>
              </w:rPr>
            </w:pPr>
            <w:r>
              <w:rPr>
                <w:rFonts w:hint="default" w:ascii="Times New Roman" w:hAnsi="Times New Roman" w:eastAsia="宋体" w:cs="Times New Roman"/>
                <w:color w:val="1A1A2E"/>
                <w:sz w:val="20"/>
                <w:szCs w:val="20"/>
              </w:rPr>
              <w:t>Standard indoor and near-field installations where full frame rate and resolution are required from every camera</w:t>
            </w:r>
          </w:p>
        </w:tc>
      </w:tr>
    </w:tbl>
    <w:p w14:paraId="13A82BDB">
      <w:pPr>
        <w:pStyle w:val="3"/>
        <w:keepNext w:val="0"/>
        <w:keepLines w:val="0"/>
        <w:widowControl/>
        <w:suppressLineNumbers w:val="0"/>
        <w:spacing w:line="19" w:lineRule="atLeast"/>
      </w:pPr>
      <w:r>
        <w:t>Deployment Scenarios</w:t>
      </w:r>
    </w:p>
    <w:p w14:paraId="28277F98">
      <w:pPr>
        <w:pStyle w:val="4"/>
        <w:keepNext w:val="0"/>
        <w:keepLines w:val="0"/>
        <w:widowControl/>
        <w:suppressLineNumbers w:val="0"/>
        <w:spacing w:line="19" w:lineRule="atLeast"/>
      </w:pPr>
      <w:r>
        <w:t>For Hotel Projects</w:t>
      </w:r>
    </w:p>
    <w:p w14:paraId="74D1808C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One SW-POE2426G per floor covers up to 24 corridor cameras, elevator lobby cameras, and ceiling APs — an entire guest floor from a single compact switch in the weak-current shaft.</w:t>
      </w:r>
    </w:p>
    <w:p w14:paraId="7A6FAB5C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Gigabit uplink ports connect directly to the hotel's core network; 8.8 Gbps backplane ensures all 24 cameras record simultaneously at 4Mbps without any packet loss.</w:t>
      </w:r>
    </w:p>
    <w:p w14:paraId="4338AC2B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320W power budget comfortably drives 24 IR-illuminated bullet cameras (NexPro-BL series) with power headroom for future expansion.</w:t>
      </w:r>
    </w:p>
    <w:p w14:paraId="1DB8FB9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Extend mode covers parking lot far-end cameras from the same floor switch, eliminating separate field cabinets.</w:t>
      </w:r>
    </w:p>
    <w:p w14:paraId="71A451DD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VLAN isolation prevents a single faulty camera from flooding the entire floor's surveillance network.</w:t>
      </w:r>
    </w:p>
    <w:p w14:paraId="05AE348C">
      <w:pPr>
        <w:pStyle w:val="4"/>
        <w:keepNext w:val="0"/>
        <w:keepLines w:val="0"/>
        <w:widowControl/>
        <w:suppressLineNumbers w:val="0"/>
        <w:spacing w:line="19" w:lineRule="atLeast"/>
      </w:pPr>
      <w:r>
        <w:t>For Industrial &amp; Factory Sites</w:t>
      </w:r>
    </w:p>
    <w:p w14:paraId="08D7474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24-port density plus 320W power budget supports comprehensive production-line coverage — conveyors, assembly stations, quality-control checkpoints, and perimeter — all from one rack-mounted switch.</w:t>
      </w:r>
    </w:p>
    <w:p w14:paraId="780ED30E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8.8 Gbps backplane bandwidth ensures zero packet loss during continuous NVR recording across all 24 channels, even with AI metadata streams enabled.</w:t>
      </w:r>
    </w:p>
    <w:p w14:paraId="71F04FA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Metal housing and built-in surge protection withstand vibration, temperature fluctuations, and electrical noise common in plant environments.</w:t>
      </w:r>
    </w:p>
    <w:p w14:paraId="17B3474F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Gigabit uplink enables smooth integration with SCADA or MES monitoring overlays without bandwidth contention.</w:t>
      </w:r>
    </w:p>
    <w:p w14:paraId="4165743E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Single-switch coverage reduces cabling complexity, spare parts inventory, and on-site troubleshooting time.</w:t>
      </w:r>
    </w:p>
    <w:p w14:paraId="22AFAF84">
      <w:pPr>
        <w:pStyle w:val="4"/>
        <w:keepNext w:val="0"/>
        <w:keepLines w:val="0"/>
        <w:widowControl/>
        <w:suppressLineNumbers w:val="0"/>
        <w:spacing w:line="19" w:lineRule="atLeast"/>
      </w:pPr>
      <w:r>
        <w:t>For System Integrators</w:t>
      </w:r>
    </w:p>
    <w:p w14:paraId="23A14390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Auto-sensing PoE eliminates the need to manually calculate power budgets — the switch negotiates with each connected camera (NexPro-BL, NexPro-PT, or third-party ONVIF cameras) individually.</w:t>
      </w:r>
    </w:p>
    <w:p w14:paraId="2BC2DAFE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Two Gigabit uplink ports allow daisy-chaining to additional switches or direct connection to NexPro-NVR series recorders with full 1000Mbps throughput.</w:t>
      </w:r>
    </w:p>
    <w:p w14:paraId="1E66416E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Compact 312mm width fits standard 19-inch rack shelves; same chassis size as the 18-port model simplifies cabinet planning and mounting bracket compatibility.</w:t>
      </w:r>
    </w:p>
    <w:p w14:paraId="6833E3A3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48" w:afterAutospacing="0" w:line="19" w:lineRule="atLeast"/>
        <w:ind w:left="720" w:hanging="36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1A1A2E"/>
          <w:sz w:val="21"/>
          <w:szCs w:val="21"/>
        </w:rPr>
        <w:t>24-port capacity handles an entire project zone or building wing with a single switch, making procurement, deployment, and maintenance straightforward.</w:t>
      </w:r>
    </w:p>
    <w:p w14:paraId="6C79097E">
      <w:pPr>
        <w:keepNext w:val="0"/>
        <w:keepLines w:val="0"/>
        <w:widowControl/>
        <w:suppressLineNumbers w:val="0"/>
        <w:pBdr>
          <w:top w:val="single" w:color="CCCCCC" w:sz="4" w:space="9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0" w:afterAutospacing="0" w:line="19" w:lineRule="atLeast"/>
        <w:ind w:left="0" w:right="0"/>
        <w:jc w:val="left"/>
        <w:rPr>
          <w:rFonts w:hint="default" w:ascii="Times New Roman" w:hAnsi="Times New Roman" w:cs="Times New Roman"/>
          <w:color w:val="888888"/>
          <w:sz w:val="18"/>
          <w:szCs w:val="18"/>
        </w:rPr>
      </w:pP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t>© NexPro. Where Systems Connect.</w:t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br w:type="textWrapping"/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t>Powered by Seetong Cloud &amp; Seetong Client Compatible Infrastructure.</w:t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br w:type="textWrapping"/>
      </w:r>
      <w:r>
        <w:rPr>
          <w:rFonts w:hint="default" w:ascii="Times New Roman" w:hAnsi="Times New Roman" w:eastAsia="宋体" w:cs="Times New Roman"/>
          <w:color w:val="888888"/>
          <w:sz w:val="18"/>
          <w:szCs w:val="18"/>
        </w:rPr>
        <w:t xml:space="preserve">For bulk project pricing and switch-camera bundle quotations: contact your NexPro solutions team.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7F41C0"/>
    <w:multiLevelType w:val="multilevel"/>
    <w:tmpl w:val="D17F41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2F22A6C0"/>
    <w:multiLevelType w:val="multilevel"/>
    <w:tmpl w:val="2F22A6C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48A0D5CE"/>
    <w:multiLevelType w:val="multilevel"/>
    <w:tmpl w:val="48A0D5C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5736B76A"/>
    <w:multiLevelType w:val="multilevel"/>
    <w:tmpl w:val="5736B76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9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doNotCompress"/>
  <w:compat>
    <w:doNotBreakWrappedTables/>
    <w:doNotWrapTextWithPunct/>
    <w:doNotUseEastAsianBreakRules/>
    <w:growAutofit/>
    <w:useFELayout/>
    <w:doNotUseIndentAsNumberingTabStop/>
    <w:useAltKinsokuLineBreakRules/>
    <w:compatSetting w:name="compatibilityMode" w:uri="http://schemas.microsoft.com/office/word" w:val="11"/>
  </w:compat>
  <w:docVars>
    <w:docVar w:name="commondata" w:val="eyJoZGlkIjoiYTM4ODg4YTRjNjY3Y2RmYWM1YTIwMTJkNWE4MjA5MDkifQ=="/>
  </w:docVars>
  <w:rsids>
    <w:rsidRoot w:val="00000000"/>
    <w:rsid w:val="116C3524"/>
    <w:rsid w:val="1AE64C39"/>
    <w:rsid w:val="2B747B4C"/>
    <w:rsid w:val="7A2F5F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EastAsia" w:hAnsiTheme="minorEastAsia" w:eastAsiaTheme="minorEastAsia" w:cstheme="minorEastAsia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pBdr>
        <w:bottom w:val="single" w:color="1565C0" w:sz="12" w:space="4"/>
      </w:pBdr>
      <w:spacing w:before="0" w:beforeAutospacing="0" w:after="0" w:afterAutospacing="1"/>
      <w:jc w:val="left"/>
    </w:pPr>
    <w:rPr>
      <w:rFonts w:hint="default" w:ascii="Times New Roman" w:hAnsi="Times New Roman" w:eastAsia="宋体" w:cs="Times New Roman"/>
      <w:b/>
      <w:bCs/>
      <w:color w:val="0D47A1"/>
      <w:kern w:val="44"/>
      <w:sz w:val="44"/>
      <w:szCs w:val="44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pBdr>
        <w:bottom w:val="single" w:color="DDDDDD" w:sz="4" w:space="2"/>
      </w:pBdr>
      <w:spacing w:before="384" w:beforeAutospacing="0" w:after="144" w:afterAutospacing="0"/>
      <w:jc w:val="left"/>
    </w:pPr>
    <w:rPr>
      <w:rFonts w:hint="default" w:ascii="Times New Roman" w:hAnsi="Times New Roman" w:eastAsia="宋体" w:cs="Times New Roman"/>
      <w:b/>
      <w:bCs/>
      <w:color w:val="0D47A1"/>
      <w:kern w:val="0"/>
      <w:sz w:val="28"/>
      <w:szCs w:val="28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288" w:beforeAutospacing="0" w:after="96" w:afterAutospacing="0"/>
      <w:jc w:val="left"/>
    </w:pPr>
    <w:rPr>
      <w:rFonts w:hint="default" w:ascii="Times New Roman" w:hAnsi="Times New Roman" w:eastAsia="宋体" w:cs="Times New Roman"/>
      <w:b/>
      <w:bCs/>
      <w:color w:val="333333"/>
      <w:kern w:val="0"/>
      <w:sz w:val="24"/>
      <w:szCs w:val="24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qFormat/>
    <w:uiPriority w:val="0"/>
    <w:pPr>
      <w:pBdr>
        <w:top w:val="single" w:color="CCCCCC" w:sz="4" w:space="9"/>
      </w:pBdr>
      <w:spacing w:before="480" w:beforeAutospacing="0"/>
      <w:jc w:val="left"/>
    </w:pPr>
    <w:rPr>
      <w:rFonts w:hint="default" w:ascii="Times New Roman" w:hAnsi="Times New Roman" w:cs="Times New Roman"/>
      <w:color w:val="888888"/>
      <w:kern w:val="0"/>
      <w:sz w:val="18"/>
      <w:szCs w:val="18"/>
      <w:lang w:val="en-US" w:eastAsia="zh-CN" w:bidi="ar"/>
    </w:rPr>
  </w:style>
  <w:style w:type="paragraph" w:styleId="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default" w:ascii="Times New Roman" w:hAnsi="Times New Roman" w:cs="Times New Roman"/>
      <w:kern w:val="0"/>
      <w:sz w:val="21"/>
      <w:szCs w:val="21"/>
      <w:lang w:val="en-US" w:eastAsia="zh-CN" w:bidi="ar"/>
    </w:r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page-info"/>
    <w:basedOn w:val="1"/>
    <w:qFormat/>
    <w:uiPriority w:val="0"/>
    <w:pPr>
      <w:spacing w:after="360" w:afterAutospacing="0"/>
      <w:jc w:val="left"/>
    </w:pPr>
    <w:rPr>
      <w:rFonts w:hint="default" w:ascii="Times New Roman" w:hAnsi="Times New Roman" w:cs="Times New Roman"/>
      <w:color w:val="666666"/>
      <w:kern w:val="0"/>
      <w:sz w:val="18"/>
      <w:szCs w:val="18"/>
      <w:lang w:val="en-US" w:eastAsia="zh-CN" w:bidi="ar"/>
    </w:rPr>
  </w:style>
  <w:style w:type="paragraph" w:customStyle="1" w:styleId="15">
    <w:name w:val="highlight-box"/>
    <w:basedOn w:val="1"/>
    <w:qFormat/>
    <w:uiPriority w:val="0"/>
    <w:pPr>
      <w:pBdr>
        <w:top w:val="none" w:color="auto" w:sz="0" w:space="0"/>
        <w:left w:val="single" w:color="1565C0" w:sz="18" w:space="10"/>
        <w:bottom w:val="none" w:color="auto" w:sz="0" w:space="0"/>
        <w:right w:val="none" w:color="auto" w:sz="0" w:space="0"/>
      </w:pBdr>
      <w:shd w:val="clear" w:fill="E3F2FD"/>
      <w:spacing w:before="192" w:beforeAutospacing="0" w:after="192" w:afterAutospacing="0"/>
      <w:ind w:left="0" w:right="0"/>
      <w:jc w:val="left"/>
    </w:pPr>
    <w:rPr>
      <w:rFonts w:hint="default" w:ascii="Times New Roman" w:hAnsi="Times New Roman" w:cs="Times New Roman"/>
      <w:kern w:val="0"/>
      <w:sz w:val="20"/>
      <w:szCs w:val="20"/>
      <w:lang w:val="en-US" w:eastAsia="zh-CN" w:bidi="ar"/>
    </w:rPr>
  </w:style>
  <w:style w:type="paragraph" w:customStyle="1" w:styleId="16">
    <w:name w:val="logo"/>
    <w:basedOn w:val="1"/>
    <w:qFormat/>
    <w:uiPriority w:val="0"/>
    <w:pPr>
      <w:spacing w:after="240" w:afterAutospacing="0"/>
      <w:jc w:val="left"/>
    </w:pPr>
    <w:rPr>
      <w:rFonts w:hint="default" w:ascii="Times New Roman" w:hAnsi="Times New Roman" w:cs="Times New Roman"/>
      <w:b/>
      <w:bCs/>
      <w:color w:val="1565C0"/>
      <w:spacing w:val="24"/>
      <w:kern w:val="0"/>
      <w:sz w:val="18"/>
      <w:szCs w:val="18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948</Words>
  <Characters>5688</Characters>
  <TotalTime>1</TotalTime>
  <ScaleCrop>false</ScaleCrop>
  <LinksUpToDate>false</LinksUpToDate>
  <CharactersWithSpaces>6545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2026-05-29T07:00:00Z</dcterms:created>
  <dc:creator>Administrator</dc:creator>
  <cp:lastModifiedBy>K</cp:lastModifiedBy>
  <dcterms:modified xsi:type="dcterms:W3CDTF">2026-08-30T08:35:11Z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C633D5D14A8543B78171D51DF4F873FE_13</vt:lpwstr>
  </property>
  <property fmtid="{D5CDD505-2E9C-101B-9397-08002B2CF9AE}" pid="4" name="KSOTemplateDocerSaveRecord">
    <vt:lpwstr>eyJoZGlkIjoiNGNkMDAyYWMyYjFhNWQzNmFmNDFjZjcyYjQ0MGZkNTEiLCJ1c2VySWQiOiIyODk0MzI0NDkifQ==</vt:lpwstr>
  </property>
</Properties>
</file>