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129756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19" w:lineRule="atLeast"/>
        <w:ind w:left="0" w:right="0"/>
        <w:jc w:val="left"/>
        <w:rPr>
          <w:rFonts w:hint="default" w:ascii="Times New Roman" w:hAnsi="Times New Roman" w:cs="Times New Roman"/>
          <w:b/>
          <w:bCs/>
          <w:color w:val="1565C0"/>
          <w:spacing w:val="24"/>
          <w:sz w:val="18"/>
          <w:szCs w:val="18"/>
        </w:rPr>
      </w:pPr>
      <w:r>
        <w:rPr>
          <w:rFonts w:hint="default" w:ascii="Times New Roman" w:hAnsi="Times New Roman" w:eastAsia="宋体" w:cs="Times New Roman"/>
          <w:b/>
          <w:bCs/>
          <w:color w:val="1565C0"/>
          <w:spacing w:val="24"/>
          <w:sz w:val="18"/>
          <w:szCs w:val="18"/>
        </w:rPr>
        <w:t>NEXPRO</w:t>
      </w:r>
    </w:p>
    <w:p w14:paraId="1572FC40">
      <w:pPr>
        <w:pStyle w:val="2"/>
        <w:keepNext w:val="0"/>
        <w:keepLines w:val="0"/>
        <w:widowControl/>
        <w:suppressLineNumbers w:val="0"/>
        <w:spacing w:line="19" w:lineRule="atLeast"/>
      </w:pPr>
      <w:r>
        <w:t>NexPro SW-POE1618G</w:t>
      </w:r>
      <w:r>
        <w:br w:type="textWrapping"/>
      </w:r>
      <w:r>
        <w:t>18-Port Gigabit PoE Switch (16-Port PoE + 2 Gigabit Uplink)</w:t>
      </w:r>
    </w:p>
    <w:p w14:paraId="43F4ECD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666666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666666"/>
          <w:sz w:val="18"/>
          <w:szCs w:val="18"/>
        </w:rPr>
        <w:t>Technical Specification Sheet | Document Version 1.0 | May 2026</w:t>
      </w:r>
    </w:p>
    <w:p w14:paraId="406E910E">
      <w:pPr>
        <w:pStyle w:val="3"/>
        <w:keepNext w:val="0"/>
        <w:keepLines w:val="0"/>
        <w:widowControl/>
        <w:suppressLineNumbers w:val="0"/>
        <w:spacing w:line="19" w:lineRule="atLeast"/>
      </w:pPr>
      <w:r>
        <w:t>Product Overview</w:t>
      </w:r>
    </w:p>
    <w:p w14:paraId="1004D6F1">
      <w:pPr>
        <w:pStyle w:val="10"/>
        <w:keepNext w:val="0"/>
        <w:keepLines w:val="0"/>
        <w:widowControl/>
        <w:suppressLineNumbers w:val="0"/>
        <w:spacing w:line="19" w:lineRule="atLeast"/>
      </w:pPr>
      <w:r>
        <w:rPr>
          <w:color w:val="1A1A2E"/>
        </w:rPr>
        <w:t xml:space="preserve">The NexPro SW-POE1618G is an 18-port Gigabit PoE switch engineered specifically for medium to large IP surveillance and wireless access point installations. With </w:t>
      </w:r>
      <w:r>
        <w:rPr>
          <w:rStyle w:val="13"/>
          <w:color w:val="1A1A2E"/>
        </w:rPr>
        <w:t>16 PoE-enabled ports</w:t>
      </w:r>
      <w:r>
        <w:rPr>
          <w:color w:val="1A1A2E"/>
        </w:rPr>
        <w:t xml:space="preserve"> delivering both data and DC power over a single Cat5e/Cat6 cable, and </w:t>
      </w:r>
      <w:r>
        <w:rPr>
          <w:rStyle w:val="13"/>
          <w:color w:val="1A1A2E"/>
        </w:rPr>
        <w:t>2 Gigabit uplink ports</w:t>
      </w:r>
      <w:r>
        <w:rPr>
          <w:color w:val="1A1A2E"/>
        </w:rPr>
        <w:t xml:space="preserve"> for high-speed NVR or core switch connectivity, it eliminates the need for separate power cabling at every camera location. A robust </w:t>
      </w:r>
      <w:r>
        <w:rPr>
          <w:rStyle w:val="13"/>
          <w:color w:val="1A1A2E"/>
        </w:rPr>
        <w:t>250W total power budget</w:t>
      </w:r>
      <w:r>
        <w:rPr>
          <w:color w:val="1A1A2E"/>
        </w:rPr>
        <w:t xml:space="preserve"> and </w:t>
      </w:r>
      <w:r>
        <w:rPr>
          <w:rStyle w:val="13"/>
          <w:color w:val="1A1A2E"/>
        </w:rPr>
        <w:t>7.2 Gbps backplane bandwidth</w:t>
      </w:r>
      <w:r>
        <w:rPr>
          <w:color w:val="1A1A2E"/>
        </w:rPr>
        <w:t xml:space="preserve"> ensure every connected camera records without interruption.</w:t>
      </w:r>
    </w:p>
    <w:p w14:paraId="5D6501DA">
      <w:pPr>
        <w:keepNext w:val="0"/>
        <w:keepLines w:val="0"/>
        <w:widowControl/>
        <w:suppressLineNumbers w:val="0"/>
        <w:pBdr>
          <w:top w:val="none" w:color="auto" w:sz="0" w:space="0"/>
          <w:left w:val="single" w:color="1565C0" w:sz="18" w:space="10"/>
          <w:bottom w:val="none" w:color="auto" w:sz="0" w:space="0"/>
          <w:right w:val="none" w:color="auto" w:sz="0" w:space="0"/>
        </w:pBdr>
        <w:shd w:val="clear" w:fill="E3F2FD"/>
        <w:spacing w:before="192" w:beforeAutospacing="0" w:after="192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1A1A2E"/>
          <w:sz w:val="20"/>
          <w:szCs w:val="20"/>
        </w:rPr>
      </w:pP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Core Value Proposition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Extended Reach: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Extend mode delivers power + data up to 250m at 10Mbps.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Gigabit Uplink: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Two 1000Mbps uplink ports ensure zero bottleneck when aggregating 16 camera streams.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True Plug-and-Play: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Zero configuration — auto-sensing PoE, instant device recognition.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Intelligent Management: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VLAN isolation and per-port speed control via a single physical switch.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Surge-Protected: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Built-in lightning protection, engineered for surveillance-grade 24/7 operation. </w:t>
      </w:r>
    </w:p>
    <w:p w14:paraId="566F9827">
      <w:pPr>
        <w:pStyle w:val="3"/>
        <w:keepNext w:val="0"/>
        <w:keepLines w:val="0"/>
        <w:widowControl/>
        <w:suppressLineNumbers w:val="0"/>
        <w:spacing w:line="19" w:lineRule="atLeast"/>
        <w:jc w:val="center"/>
      </w:pPr>
      <w:bookmarkStart w:id="0" w:name="_GoBack"/>
      <w:r>
        <w:rPr>
          <w:rFonts w:hint="eastAsia" w:asciiTheme="majorEastAsia" w:hAnsiTheme="majorEastAsia" w:eastAsiaTheme="majorEastAsia" w:cstheme="majorEastAsia"/>
          <w:sz w:val="44"/>
          <w:szCs w:val="44"/>
        </w:rPr>
        <w:pict>
          <v:shape id="_x0000_i1025" o:spt="75" type="#_x0000_t75" style="height:145.85pt;width:667.4pt;" filled="f" o:preferrelative="t" stroked="f" coordsize="21600,21600">
            <v:path/>
            <v:fill on="f" focussize="0,0"/>
            <v:stroke on="f" miterlimit="8" joinstyle="miter"/>
            <v:imagedata r:id="rId4" o:title=""/>
            <o:lock v:ext="edit" aspectratio="t"/>
            <w10:wrap type="none"/>
            <w10:anchorlock/>
          </v:shape>
        </w:pict>
      </w:r>
      <w:bookmarkEnd w:id="0"/>
    </w:p>
    <w:p w14:paraId="4E95F71C">
      <w:pPr>
        <w:pStyle w:val="3"/>
        <w:keepNext w:val="0"/>
        <w:keepLines w:val="0"/>
        <w:widowControl/>
        <w:suppressLineNumbers w:val="0"/>
        <w:spacing w:line="19" w:lineRule="atLeast"/>
      </w:pPr>
      <w:r>
        <w:t>Key Features</w:t>
      </w:r>
    </w:p>
    <w:p w14:paraId="4BF6446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16× 100Mbps PoE Ports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Simultaneous data and DC power delivery via standard Cat5e/Cat6 cable; auto-sensing IEEE 802.3af/at compliant powered devices. 250W total power budget supports fully loaded 16-channel camera deployments.</w:t>
      </w:r>
    </w:p>
    <w:p w14:paraId="54D5188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2× Gigabit Uplink Ports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Dedicated 1000Mbps uplink for NVR connection or cascading to core switch; no data bottleneck when aggregating all 16 camera streams simultaneously.</w:t>
      </w:r>
    </w:p>
    <w:p w14:paraId="16055EA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Extend Mode (250m)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When enabled, ports 1–16 operate at forced 10Mbps with VLAN isolation, extending transmission distance to 250 metres — ideal for far-end perimeter cameras, remote gate installations, and parking lot coverage without additional repeaters or fibre converters.</w:t>
      </w:r>
    </w:p>
    <w:p w14:paraId="6A9445F8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VLAN Isolation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Paired with Extend mode, isolates each PoE port from one another to prevent broadcast storms and enhance network security for dedicated surveillance traffic across large port counts.</w:t>
      </w:r>
    </w:p>
    <w:p w14:paraId="53DDF2E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Wide Voltage PoE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DC 48–55V power supply, 250W total budget; supports both IEEE 802.3af (15.4W) and IEEE 802.3at (30W) powered devices simultaneously across all 16 ports.</w:t>
      </w:r>
    </w:p>
    <w:p w14:paraId="658720D8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Plug-and-Play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No software configuration required; connect cameras and NVR, power on, and the system is operational within seconds.</w:t>
      </w:r>
    </w:p>
    <w:p w14:paraId="0EB4E2E7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Compact Steel Housing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312×185×46mm form factor fits standard 19-inch rack shelves and wall-mount enclosures.</w:t>
      </w:r>
    </w:p>
    <w:p w14:paraId="3C770A5D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Surge Protection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Built-in lightning and surge protection for stable operation in outdoor cabinet and plant-floor installations.</w:t>
      </w:r>
    </w:p>
    <w:p w14:paraId="57F8A1B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Broad Compatibility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Suitable for IP cameras, wireless APs, and other PoE-powered devices in retail, residential, school, hospital, campus, hotel, and SME environments.</w:t>
      </w:r>
    </w:p>
    <w:p w14:paraId="0E11FDCA">
      <w:pPr>
        <w:pStyle w:val="3"/>
        <w:keepNext w:val="0"/>
        <w:keepLines w:val="0"/>
        <w:widowControl/>
        <w:suppressLineNumbers w:val="0"/>
        <w:spacing w:line="19" w:lineRule="atLeast"/>
      </w:pPr>
      <w:r>
        <w:t>Technical Specifications</w:t>
      </w:r>
    </w:p>
    <w:tbl>
      <w:tblPr>
        <w:tblStyle w:val="11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47"/>
        <w:gridCol w:w="6095"/>
      </w:tblGrid>
      <w:tr w14:paraId="703B4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139DCD15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Product Name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00E46D8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18-Port Gigabit Standard PoE Switch</w:t>
            </w:r>
          </w:p>
        </w:tc>
      </w:tr>
      <w:tr w14:paraId="23F0B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5B20BC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Model Number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0BC007CC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NexPro SW-POE1618G / 16F20GB</w:t>
            </w:r>
          </w:p>
        </w:tc>
      </w:tr>
      <w:tr w14:paraId="04DA1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6CF0749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Forwarding Mode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AAEC9A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Store-and-Forward</w:t>
            </w:r>
          </w:p>
        </w:tc>
      </w:tr>
      <w:tr w14:paraId="0D9CF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4C6F589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Transmission Distance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4388E621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Standard 100m / Extend mode up to 250m</w:t>
            </w:r>
          </w:p>
        </w:tc>
      </w:tr>
      <w:tr w14:paraId="5C001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0DB8B0E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Backplane Bandwidth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10961067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7.2 Gbps full-duplex</w:t>
            </w:r>
          </w:p>
        </w:tc>
      </w:tr>
      <w:tr w14:paraId="68540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0650934A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PoE Ports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44B35EFD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Ports 1–16 (Power + Data, Extend mode supported)</w:t>
            </w:r>
          </w:p>
        </w:tc>
      </w:tr>
      <w:tr w14:paraId="568C49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375A199C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Uplink Ports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4AB8ACE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2× 1000Mbps RJ45 Gigabit (non-PoE)</w:t>
            </w:r>
          </w:p>
        </w:tc>
      </w:tr>
      <w:tr w14:paraId="2D0E2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1E252F3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Data Pin Assignment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65DF5BF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1, 2, 3, 6</w:t>
            </w:r>
          </w:p>
        </w:tc>
      </w:tr>
      <w:tr w14:paraId="21548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2299E3F2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Power Pin Assignment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3BDF5956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Pins 1-2 positive (+) / Pins 3-6 negative (-)</w:t>
            </w:r>
          </w:p>
        </w:tc>
      </w:tr>
      <w:tr w14:paraId="2EF516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41A3CB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Voltage Specification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2392BD9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DC 48–55V</w:t>
            </w:r>
          </w:p>
        </w:tc>
      </w:tr>
      <w:tr w14:paraId="0642B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339BFA64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Standard Power Supply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0FE6D9A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DC 52V / 250W</w:t>
            </w:r>
          </w:p>
        </w:tc>
      </w:tr>
      <w:tr w14:paraId="06E02E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0139E4C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PoE Protocols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1568F961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IEEE 802.3at (PoE+), IEEE 802.3af (PoE)</w:t>
            </w:r>
          </w:p>
        </w:tc>
      </w:tr>
      <w:tr w14:paraId="488C0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1CE71367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Network Medium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A201BFC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Cat5 / Cat5e UTP (unshielded twisted pair)</w:t>
            </w:r>
          </w:p>
        </w:tc>
      </w:tr>
      <w:tr w14:paraId="0C44E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95397A1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Dimensions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64A29AC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312 × 185 × 46 mm (L×W×H)</w:t>
            </w:r>
          </w:p>
        </w:tc>
      </w:tr>
      <w:tr w14:paraId="6E74BF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4E8EB563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Extend/VLAN Switch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1532998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Style w:val="13"/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ON:</w:t>
            </w: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 xml:space="preserve"> Ports 1-16 forced 10Mbps / 250m reach / VLAN enabled</w:t>
            </w: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br w:type="textWrapping"/>
            </w:r>
            <w:r>
              <w:rPr>
                <w:rStyle w:val="13"/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OFF:</w:t>
            </w: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 xml:space="preserve"> Ports 1-16 at 100Mbps / 100m reach / VLAN disabled</w:t>
            </w:r>
          </w:p>
        </w:tc>
      </w:tr>
    </w:tbl>
    <w:p w14:paraId="7C8AFE51">
      <w:pPr>
        <w:pStyle w:val="3"/>
        <w:keepNext w:val="0"/>
        <w:keepLines w:val="0"/>
        <w:widowControl/>
        <w:suppressLineNumbers w:val="0"/>
        <w:spacing w:line="19" w:lineRule="atLeast"/>
      </w:pPr>
      <w:r>
        <w:t>Extend &amp; VLAN Mode Configuration</w:t>
      </w:r>
    </w:p>
    <w:p w14:paraId="7CAED636">
      <w:pPr>
        <w:pStyle w:val="10"/>
        <w:keepNext w:val="0"/>
        <w:keepLines w:val="0"/>
        <w:widowControl/>
        <w:suppressLineNumbers w:val="0"/>
        <w:spacing w:line="19" w:lineRule="atLeast"/>
      </w:pPr>
      <w:r>
        <w:rPr>
          <w:color w:val="1A1A2E"/>
        </w:rPr>
        <w:t>The physical slide switch on the unit provides instant operational mode switching — no software, no reboot loops, no complexity.</w:t>
      </w:r>
    </w:p>
    <w:tbl>
      <w:tblPr>
        <w:tblStyle w:val="11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30"/>
        <w:gridCol w:w="1117"/>
        <w:gridCol w:w="1129"/>
        <w:gridCol w:w="1184"/>
        <w:gridCol w:w="4034"/>
      </w:tblGrid>
      <w:tr w14:paraId="79A07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49E06600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Switch Position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5BA65981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Port Speed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08F66D47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Max Distance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54239636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VLAN Isolation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3294D0D4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Recommended Use Case</w:t>
            </w:r>
          </w:p>
        </w:tc>
      </w:tr>
      <w:tr w14:paraId="656CE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2719DFEC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Style w:val="13"/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ON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4DB89B8A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10 Mbps (forced)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03F18D77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250 metres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5BB62C4F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Enabled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0A6D8EBC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Perimeter fence cameras, remote gate cameras, standalone far-end installations where high frame rate is not critical but distance exceeds 100m</w:t>
            </w:r>
          </w:p>
        </w:tc>
      </w:tr>
      <w:tr w14:paraId="3D41B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3509D01E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Style w:val="13"/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OFF</w:t>
            </w: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 xml:space="preserve"> (default)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5D8DECBB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100 Mbps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6057E375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100 metres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48D37EEC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Disabled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2BD03ABC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Standard indoor and near-field installations where full frame rate and resolution are required from every camera</w:t>
            </w:r>
          </w:p>
        </w:tc>
      </w:tr>
    </w:tbl>
    <w:p w14:paraId="69F743C2">
      <w:pPr>
        <w:pStyle w:val="3"/>
        <w:keepNext w:val="0"/>
        <w:keepLines w:val="0"/>
        <w:widowControl/>
        <w:suppressLineNumbers w:val="0"/>
        <w:spacing w:line="19" w:lineRule="atLeast"/>
      </w:pPr>
      <w:r>
        <w:t>Deployment Scenarios</w:t>
      </w:r>
    </w:p>
    <w:p w14:paraId="36C66343">
      <w:pPr>
        <w:pStyle w:val="4"/>
        <w:keepNext w:val="0"/>
        <w:keepLines w:val="0"/>
        <w:widowControl/>
        <w:suppressLineNumbers w:val="0"/>
        <w:spacing w:line="19" w:lineRule="atLeast"/>
      </w:pPr>
      <w:r>
        <w:t>For Hotel Projects</w:t>
      </w:r>
    </w:p>
    <w:p w14:paraId="515FA791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One SW-POE1618G per floor or per zone covers up to 16 corridor cameras (NexPro-BL series) and ceiling APs (NexPro-WiFi series) with a single switch.</w:t>
      </w:r>
    </w:p>
    <w:p w14:paraId="51EAE68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Gigabit uplink ports connect directly to the hotel's core network without creating a bottleneck, even with all 16 cameras recording simultaneously at 4Mbps.</w:t>
      </w:r>
    </w:p>
    <w:p w14:paraId="3B1C0DE3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Extend mode covers parking lot far-end cameras without additional power cabling or fibre converters.</w:t>
      </w:r>
    </w:p>
    <w:p w14:paraId="58B0FC56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VLAN isolation prevents a single faulty camera from flooding the entire floor's surveillance network.</w:t>
      </w:r>
    </w:p>
    <w:p w14:paraId="48E5F734">
      <w:pPr>
        <w:pStyle w:val="4"/>
        <w:keepNext w:val="0"/>
        <w:keepLines w:val="0"/>
        <w:widowControl/>
        <w:suppressLineNumbers w:val="0"/>
        <w:spacing w:line="19" w:lineRule="atLeast"/>
      </w:pPr>
      <w:r>
        <w:t>For Industrial &amp; Factory Sites</w:t>
      </w:r>
    </w:p>
    <w:p w14:paraId="71F037B6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250W power budget comfortably supports 16 outdoor bullet cameras with IR illumination (NexPro-BL series), including heater-equipped models in cold storage areas.</w:t>
      </w:r>
    </w:p>
    <w:p w14:paraId="547C1858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7.2 Gbps backplane bandwidth ensures zero packet loss during continuous NVR recording across all channels.</w:t>
      </w:r>
    </w:p>
    <w:p w14:paraId="314150C2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Metal housing and built-in surge protection withstand vibration, temperature fluctuations, and electrical noise common in plant environments.</w:t>
      </w:r>
    </w:p>
    <w:p w14:paraId="22F43818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Gigabit uplink enables smooth integration with SCADA or MES monitoring overlays without bandwidth contention.</w:t>
      </w:r>
    </w:p>
    <w:p w14:paraId="3708FF7F">
      <w:pPr>
        <w:pStyle w:val="4"/>
        <w:keepNext w:val="0"/>
        <w:keepLines w:val="0"/>
        <w:widowControl/>
        <w:suppressLineNumbers w:val="0"/>
        <w:spacing w:line="19" w:lineRule="atLeast"/>
      </w:pPr>
      <w:r>
        <w:t>For System Integrators</w:t>
      </w:r>
    </w:p>
    <w:p w14:paraId="6E0C931A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Auto-sensing PoE eliminates the need to manually calculate power budgets per port — the switch negotiates with each connected camera (NexPro-BL, NexPro-PT, or third-party ONVIF cameras).</w:t>
      </w:r>
    </w:p>
    <w:p w14:paraId="56FDE12B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Two Gigabit uplink ports allow daisy-chaining to additional switches or direct connection to NexPro-NVR series recorders with full 1000Mbps throughput.</w:t>
      </w:r>
    </w:p>
    <w:p w14:paraId="4AC0B19E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Compact 312mm width fits standard 19-inch rack shelves or wall-mount enclosures in weak-current cabinets.</w:t>
      </w:r>
    </w:p>
    <w:p w14:paraId="6A5EEADD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Single-switch solution for up to 16 cameras simplifies procurement, spare parts management, and on-site troubleshooting.</w:t>
      </w:r>
    </w:p>
    <w:p w14:paraId="3AD4CDE0">
      <w:pPr>
        <w:keepNext w:val="0"/>
        <w:keepLines w:val="0"/>
        <w:widowControl/>
        <w:suppressLineNumbers w:val="0"/>
        <w:pBdr>
          <w:top w:val="single" w:color="CCCCCC" w:sz="4" w:space="9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0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888888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t>© NexPro. Where Systems Connect.</w:t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br w:type="textWrapping"/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t>Powered by Seetong Cloud &amp; Seetong Client Compatible Infrastructure.</w:t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br w:type="textWrapping"/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t xml:space="preserve">For bulk project pricing and switch-camera bundle quotations: contact your NexPro solutions team.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B4061A"/>
    <w:multiLevelType w:val="multilevel"/>
    <w:tmpl w:val="D1B4061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321CB096"/>
    <w:multiLevelType w:val="multilevel"/>
    <w:tmpl w:val="321CB09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3BD4FD0A"/>
    <w:multiLevelType w:val="multilevel"/>
    <w:tmpl w:val="3BD4FD0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48FF1BC8"/>
    <w:multiLevelType w:val="multilevel"/>
    <w:tmpl w:val="48FF1B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8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BreakWrappedTables/>
    <w:doNotWrapTextWithPunct/>
    <w:doNotUseEastAsianBreakRules/>
    <w:growAutofit/>
    <w:useFELayout/>
    <w:doNotUseIndentAsNumberingTabStop/>
    <w:useAltKinsokuLineBreakRules/>
    <w:compatSetting w:name="compatibilityMode" w:uri="http://schemas.microsoft.com/office/word" w:val="11"/>
  </w:compat>
  <w:docVars>
    <w:docVar w:name="commondata" w:val="eyJoZGlkIjoiYTM4ODg4YTRjNjY3Y2RmYWM1YTIwMTJkNWE4MjA5MDkifQ=="/>
  </w:docVars>
  <w:rsids>
    <w:rsidRoot w:val="00000000"/>
    <w:rsid w:val="1408494D"/>
    <w:rsid w:val="233221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EastAsia" w:hAnsiTheme="minorEastAsia" w:eastAsiaTheme="minorEastAsia" w:cstheme="minorEastAsia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pBdr>
        <w:bottom w:val="single" w:color="1565C0" w:sz="12" w:space="4"/>
      </w:pBdr>
      <w:spacing w:before="0" w:beforeAutospacing="0" w:after="0" w:afterAutospacing="1"/>
      <w:jc w:val="left"/>
    </w:pPr>
    <w:rPr>
      <w:rFonts w:hint="default" w:ascii="Times New Roman" w:hAnsi="Times New Roman" w:eastAsia="宋体" w:cs="Times New Roman"/>
      <w:b/>
      <w:bCs/>
      <w:color w:val="0D47A1"/>
      <w:kern w:val="44"/>
      <w:sz w:val="44"/>
      <w:szCs w:val="44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pBdr>
        <w:bottom w:val="single" w:color="DDDDDD" w:sz="4" w:space="2"/>
      </w:pBdr>
      <w:spacing w:before="384" w:beforeAutospacing="0" w:after="144" w:afterAutospacing="0"/>
      <w:jc w:val="left"/>
    </w:pPr>
    <w:rPr>
      <w:rFonts w:hint="default" w:ascii="Times New Roman" w:hAnsi="Times New Roman" w:eastAsia="宋体" w:cs="Times New Roman"/>
      <w:b/>
      <w:bCs/>
      <w:color w:val="0D47A1"/>
      <w:kern w:val="0"/>
      <w:sz w:val="28"/>
      <w:szCs w:val="28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288" w:beforeAutospacing="0" w:after="96" w:afterAutospacing="0"/>
      <w:jc w:val="left"/>
    </w:pPr>
    <w:rPr>
      <w:rFonts w:hint="default" w:ascii="Times New Roman" w:hAnsi="Times New Roman" w:eastAsia="宋体" w:cs="Times New Roman"/>
      <w:b/>
      <w:bCs/>
      <w:color w:val="333333"/>
      <w:kern w:val="0"/>
      <w:sz w:val="24"/>
      <w:szCs w:val="24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er"/>
    <w:basedOn w:val="1"/>
    <w:uiPriority w:val="0"/>
    <w:pPr>
      <w:pBdr>
        <w:top w:val="single" w:color="CCCCCC" w:sz="4" w:space="9"/>
      </w:pBdr>
      <w:spacing w:before="480" w:beforeAutospacing="0"/>
      <w:jc w:val="left"/>
    </w:pPr>
    <w:rPr>
      <w:rFonts w:hint="default" w:ascii="Times New Roman" w:hAnsi="Times New Roman" w:cs="Times New Roman"/>
      <w:color w:val="888888"/>
      <w:kern w:val="0"/>
      <w:sz w:val="18"/>
      <w:szCs w:val="18"/>
      <w:lang w:val="en-US" w:eastAsia="zh-CN" w:bidi="ar"/>
    </w:rPr>
  </w:style>
  <w:style w:type="paragraph" w:styleId="9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0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rFonts w:hint="default" w:ascii="Times New Roman" w:hAnsi="Times New Roman" w:cs="Times New Roman"/>
      <w:kern w:val="0"/>
      <w:sz w:val="21"/>
      <w:szCs w:val="21"/>
      <w:lang w:val="en-US" w:eastAsia="zh-CN" w:bidi="ar"/>
    </w:r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page-info"/>
    <w:basedOn w:val="1"/>
    <w:uiPriority w:val="0"/>
    <w:pPr>
      <w:spacing w:after="360" w:afterAutospacing="0"/>
      <w:jc w:val="left"/>
    </w:pPr>
    <w:rPr>
      <w:rFonts w:hint="default" w:ascii="Times New Roman" w:hAnsi="Times New Roman" w:cs="Times New Roman"/>
      <w:color w:val="666666"/>
      <w:kern w:val="0"/>
      <w:sz w:val="18"/>
      <w:szCs w:val="18"/>
      <w:lang w:val="en-US" w:eastAsia="zh-CN" w:bidi="ar"/>
    </w:rPr>
  </w:style>
  <w:style w:type="paragraph" w:customStyle="1" w:styleId="15">
    <w:name w:val="highlight-box"/>
    <w:basedOn w:val="1"/>
    <w:uiPriority w:val="0"/>
    <w:pPr>
      <w:pBdr>
        <w:top w:val="none" w:color="auto" w:sz="0" w:space="0"/>
        <w:left w:val="single" w:color="1565C0" w:sz="18" w:space="10"/>
        <w:bottom w:val="none" w:color="auto" w:sz="0" w:space="0"/>
        <w:right w:val="none" w:color="auto" w:sz="0" w:space="0"/>
      </w:pBdr>
      <w:shd w:val="clear" w:fill="E3F2FD"/>
      <w:spacing w:before="192" w:beforeAutospacing="0" w:after="192" w:afterAutospacing="0"/>
      <w:ind w:left="0" w:right="0"/>
      <w:jc w:val="left"/>
    </w:pPr>
    <w:rPr>
      <w:rFonts w:hint="default" w:ascii="Times New Roman" w:hAnsi="Times New Roman" w:cs="Times New Roman"/>
      <w:kern w:val="0"/>
      <w:sz w:val="20"/>
      <w:szCs w:val="20"/>
      <w:lang w:val="en-US" w:eastAsia="zh-CN" w:bidi="ar"/>
    </w:rPr>
  </w:style>
  <w:style w:type="paragraph" w:customStyle="1" w:styleId="16">
    <w:name w:val="logo"/>
    <w:basedOn w:val="1"/>
    <w:uiPriority w:val="0"/>
    <w:pPr>
      <w:spacing w:after="240" w:afterAutospacing="0"/>
      <w:jc w:val="left"/>
    </w:pPr>
    <w:rPr>
      <w:rFonts w:hint="default" w:ascii="Times New Roman" w:hAnsi="Times New Roman" w:cs="Times New Roman"/>
      <w:b/>
      <w:bCs/>
      <w:color w:val="1565C0"/>
      <w:spacing w:val="24"/>
      <w:kern w:val="0"/>
      <w:sz w:val="18"/>
      <w:szCs w:val="18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868</Words>
  <Characters>5184</Characters>
  <TotalTime>0</TotalTime>
  <ScaleCrop>false</ScaleCrop>
  <LinksUpToDate>false</LinksUpToDate>
  <CharactersWithSpaces>5964</CharactersWithSpaces>
  <Application>WPS Office_12.1.0.18276_F1E327BC-269C-435d-A152-05C5408002CA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2026-05-29T07:00:00Z</dcterms:created>
  <dc:creator>Administrator</dc:creator>
  <cp:lastModifiedBy>张艺彬-工作号</cp:lastModifiedBy>
  <dcterms:modified xsi:type="dcterms:W3CDTF">2026-05-29T07:06:05Z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22AFDE72264B46F88CB5662DE2F3C3C0_13</vt:lpwstr>
  </property>
</Properties>
</file>