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VEHICLE &amp; PEDESTRIAN ENTRANCE CONTROL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NX-LP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NX-LP-010 | NX-LP-011 | NX-LP-012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3440"/>
        <w:gridCol w:w="3440"/>
        <w:gridCol w:w="3440"/>
      </w:tblGrid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70149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0149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881288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88128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794946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794946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NX-LP-010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NX-LP-011 · Primary</w:t>
            </w:r>
          </w:p>
        </w:tc>
        <w:tc>
          <w:tcPr>
            <w:tcW w:type="dxa" w:w="344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NX-LP-012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License Plate Recognition Systems : Overseas LPR System.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Vehicle &amp; Pedestrian Entrance Control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Recognition &amp; Payment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NX-LP-010 | NX-LP-011 | NX-LP-012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LPR parking, Visitor vehicle entry, Parking management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SKU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Supply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NX-LP-010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Overseas LPR System - Overseas License Plate Recognition System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License Plate Recognition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NX-LP-010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NX-LP-011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Industrial Computer - Sentry Box Engineering Computer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License Plate Recognition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NX-LP-011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NX-LP-012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T02 Solar Barrier Gate - Solar Barrier Gate T02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License Plate Recognition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NX-LP-012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Project and bulk orders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2440"/>
        <w:gridCol w:w="2440"/>
        <w:gridCol w:w="244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NX-LP-010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NX-LP-011</w:t>
            </w:r>
          </w:p>
        </w:tc>
        <w:tc>
          <w:tcPr>
            <w:tcW w:type="dxa" w:w="244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NX-LP-012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License Plate Recognition Systems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License Plate Recognition Systems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License Plate Recognition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NX-LP-010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NX-LP-011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E2E8F0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NX-LP-012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Supply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orders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Category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License Plate Recognition Systems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License Plate Recognition Systems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License Plate Recognition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group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Recognition &amp; Payment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Recognition &amp; Payment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Recognition &amp; Payment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Available after scope confirmation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Required input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Lane layout, quantity, control method and destination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  <w:tc>
          <w:tcPr>
            <w:tcW w:type="dxa" w:w="244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required datasheet, drawing and installation references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APPLICATIONS &amp; RFQ CONFIRMATION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c>
          <w:tcPr>
            <w:tcW w:type="dxa" w:w="51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Typical applications</w:t>
            </w:r>
          </w:p>
        </w:tc>
        <w:tc>
          <w:tcPr>
            <w:tcW w:type="dxa" w:w="5160"/>
            <w:shd w:fill="20B2AA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FFFFFF"/>
                <w:sz w:val="17"/>
              </w:rPr>
              <w:t>Confirm in the project RFQ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LPR parking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Visitor vehicle entry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Parking management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2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lane dimensions and installation environment before final model selection.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Confirm recognition, payment, safety detection and third-party integration requirements.</w:t>
            </w:r>
          </w:p>
          <w:p>
            <w:pPr>
              <w:keepNext w:val="0"/>
              <w:spacing w:before="0" w:after="20" w:line="247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Technical parameters must be confirmed against the final quotation and datasheet.</w:t>
            </w:r>
          </w:p>
        </w:tc>
      </w:tr>
    </w:tbl>
    <w:p>
      <w:pPr>
        <w:keepNext w:val="0"/>
        <w:spacing w:before="80" w:after="0" w:line="252" w:lineRule="auto"/>
      </w:pPr>
      <w:r>
        <w:rPr>
          <w:rFonts w:ascii="Arial" w:hAnsi="Arial"/>
          <w:b/>
          <w:i w:val="0"/>
          <w:color w:val="0A355D"/>
          <w:sz w:val="17"/>
        </w:rPr>
        <w:t xml:space="preserve">Project supply: </w:t>
      </w:r>
      <w:r>
        <w:rPr>
          <w:rFonts w:ascii="Arial" w:hAnsi="Arial"/>
          <w:b w:val="0"/>
          <w:i w:val="0"/>
          <w:color w:val="555555"/>
          <w:sz w:val="17"/>
        </w:rPr>
        <w:t>MOQ — Confirm by model, quantity and customization · Lead time — Confirm after project scope review · FOB port — China main ports · OEM/ODM — Available; confirm project scope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PROJECT CONFIGURATION CHECKLIST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model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NX-LP-010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 and site conditions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installation environment and operating requirements.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Quantity and model mix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forecast quantity, phase plan and required variants.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Interfaces and accessories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compatible interfaces, accessories and system integration scope.</w:t>
            </w:r>
          </w:p>
        </w:tc>
      </w:tr>
      <w:tr>
        <w:tc>
          <w:tcPr>
            <w:tcW w:type="dxa" w:w="30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Finish, branding and packing</w:t>
            </w:r>
          </w:p>
        </w:tc>
        <w:tc>
          <w:tcPr>
            <w:tcW w:type="dxa" w:w="73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only when project customization is required.</w:t>
            </w:r>
          </w:p>
        </w:tc>
      </w:tr>
      <w:tr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Documentation and destination</w:t>
            </w:r>
          </w:p>
        </w:tc>
        <w:tc>
          <w:tcPr>
            <w:tcW w:type="dxa" w:w="73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drawings, datasheets, packing documents and destination country or port.</w:t>
            </w:r>
          </w:p>
        </w:tc>
      </w:tr>
    </w:tbl>
    <w:p>
      <w:pPr>
        <w:keepNext w:val="0"/>
        <w:spacing w:before="10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64800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648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NX-LP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Relationship Id="rId14" Type="http://schemas.openxmlformats.org/officeDocument/2006/relationships/image" Target="media/image5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NX-LP Series</dc:title>
  <dc:subject>NexPro English product specification</dc:subject>
  <dc:creator>NexPro</dc:creator>
  <cp:keywords>NX-LP-010, NX-LP-011, NX-LP-012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